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849"/>
      </w:tblGrid>
      <w:tr>
        <w:tc>
          <w:tcPr>
            <w:tcW w:w="9849" w:type="dxa"/>
            <w:shd w:val="clear" w:color="auto" w:fill="F2F2F2"/>
          </w:tcPr>
          <w:p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Стан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дард 3. Циљеви студијског програма</w:t>
            </w:r>
          </w:p>
          <w:p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Студијски програм има јасно дефинисане циљеве</w:t>
            </w:r>
            <w:r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>
        <w:tc>
          <w:tcPr>
            <w:tcW w:w="9849" w:type="dxa"/>
          </w:tcPr>
          <w:p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 xml:space="preserve">Опис </w:t>
            </w:r>
            <w:r>
              <w:rPr>
                <w:sz w:val="22"/>
                <w:szCs w:val="22"/>
                <w:lang w:val="sr-Cyrl-CS"/>
              </w:rPr>
              <w:t>(</w:t>
            </w:r>
            <w:r>
              <w:rPr>
                <w:sz w:val="22"/>
                <w:szCs w:val="22"/>
              </w:rPr>
              <w:t>највише 500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речи</w:t>
            </w:r>
            <w:r>
              <w:rPr>
                <w:sz w:val="22"/>
                <w:szCs w:val="22"/>
                <w:lang w:val="sr-Cyrl-CS"/>
              </w:rPr>
              <w:t>)</w:t>
            </w:r>
          </w:p>
          <w:p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Студијски програм основних студија социологије конципиран је с циљем да студенти стекну низ</w:t>
            </w:r>
            <w:r>
              <w:rPr>
                <w:sz w:val="22"/>
                <w:szCs w:val="22"/>
                <w:lang w:val="en-US"/>
              </w:rPr>
              <w:t xml:space="preserve"> општих способности и специфичних </w:t>
            </w:r>
            <w:r>
              <w:rPr>
                <w:sz w:val="22"/>
                <w:szCs w:val="22"/>
                <w:lang w:val="sr-Cyrl-RS"/>
              </w:rPr>
              <w:t xml:space="preserve">професионалних </w:t>
            </w:r>
            <w:r>
              <w:rPr>
                <w:sz w:val="22"/>
                <w:szCs w:val="22"/>
                <w:lang w:val="en-US"/>
              </w:rPr>
              <w:t xml:space="preserve">компетенција </w:t>
            </w:r>
            <w:r>
              <w:rPr>
                <w:sz w:val="22"/>
                <w:szCs w:val="22"/>
                <w:lang w:val="sr-Cyrl-RS"/>
              </w:rPr>
              <w:t xml:space="preserve">и вештина </w:t>
            </w:r>
            <w:r>
              <w:rPr>
                <w:sz w:val="22"/>
                <w:szCs w:val="22"/>
                <w:lang w:val="en-US"/>
              </w:rPr>
              <w:t>неопходних за обављање висококвалификованих послова</w:t>
            </w:r>
            <w:r>
              <w:rPr>
                <w:sz w:val="22"/>
                <w:szCs w:val="22"/>
                <w:lang w:val="sr-Cyrl-RS"/>
              </w:rPr>
              <w:t xml:space="preserve"> у: </w:t>
            </w:r>
          </w:p>
          <w:p>
            <w:pPr>
              <w:pStyle w:val="ListParagraph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државним органима;</w:t>
            </w:r>
          </w:p>
          <w:p>
            <w:pPr>
              <w:pStyle w:val="ListParagraph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сфери привреде - у државним и приватним компанијама;</w:t>
            </w:r>
          </w:p>
          <w:p>
            <w:pPr>
              <w:pStyle w:val="ListParagraph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 xml:space="preserve">институцијама социјалне заштите; </w:t>
            </w:r>
          </w:p>
          <w:p>
            <w:pPr>
              <w:pStyle w:val="ListParagraph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образовним институцијама</w:t>
            </w:r>
            <w:r>
              <w:rPr>
                <w:sz w:val="22"/>
                <w:szCs w:val="22"/>
                <w:lang w:val="sr-Cyrl-RS"/>
              </w:rPr>
              <w:t>;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  <w:p>
            <w:pPr>
              <w:pStyle w:val="ListParagraph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институцијама</w:t>
            </w:r>
            <w:r>
              <w:rPr>
                <w:sz w:val="22"/>
                <w:szCs w:val="22"/>
                <w:lang w:val="sr-Cyrl-RS"/>
              </w:rPr>
              <w:t xml:space="preserve"> за културу</w:t>
            </w:r>
            <w:r>
              <w:rPr>
                <w:sz w:val="22"/>
                <w:szCs w:val="22"/>
                <w:lang w:val="en-US"/>
              </w:rPr>
              <w:t xml:space="preserve">; </w:t>
            </w:r>
          </w:p>
          <w:p>
            <w:pPr>
              <w:pStyle w:val="ListParagraph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политичким</w:t>
            </w:r>
            <w:r>
              <w:rPr>
                <w:sz w:val="22"/>
                <w:szCs w:val="22"/>
                <w:lang w:val="sr-Cyrl-RS"/>
              </w:rPr>
              <w:t xml:space="preserve"> партијама</w:t>
            </w:r>
            <w:r>
              <w:rPr>
                <w:sz w:val="22"/>
                <w:szCs w:val="22"/>
                <w:lang w:val="en-US"/>
              </w:rPr>
              <w:t>;</w:t>
            </w:r>
          </w:p>
          <w:p>
            <w:pPr>
              <w:pStyle w:val="ListParagraph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штампаним и електронским медијима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>
            <w:pPr>
              <w:pStyle w:val="ListParagraph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организацијама цивилног друштва;</w:t>
            </w:r>
          </w:p>
          <w:p>
            <w:pPr>
              <w:pStyle w:val="ListParagraph"/>
              <w:numPr>
                <w:ilvl w:val="0"/>
                <w:numId w:val="7"/>
              </w:num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истраживачким агенцијама; 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  <w:p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RS"/>
              </w:rPr>
              <w:t>У складу са основним задацима и циљевима матичне установе на којој се програм изводи , н</w:t>
            </w:r>
            <w:r>
              <w:rPr>
                <w:sz w:val="22"/>
                <w:szCs w:val="22"/>
                <w:lang w:val="en-US"/>
              </w:rPr>
              <w:t xml:space="preserve">а нивоу </w:t>
            </w:r>
            <w:r>
              <w:rPr>
                <w:sz w:val="22"/>
                <w:szCs w:val="22"/>
                <w:lang w:val="sr-Cyrl-RS"/>
              </w:rPr>
              <w:t>основних академских ака</w:t>
            </w:r>
            <w:r>
              <w:rPr>
                <w:sz w:val="22"/>
                <w:szCs w:val="22"/>
                <w:lang w:val="en-US"/>
              </w:rPr>
              <w:t>студија социологије стичу</w:t>
            </w:r>
            <w:r>
              <w:rPr>
                <w:sz w:val="22"/>
                <w:szCs w:val="22"/>
                <w:lang w:val="sr-Cyrl-RS"/>
              </w:rPr>
              <w:t xml:space="preserve"> се </w:t>
            </w:r>
            <w:r>
              <w:rPr>
                <w:i/>
                <w:iCs/>
                <w:sz w:val="22"/>
                <w:szCs w:val="22"/>
                <w:lang w:val="sr-Cyrl-RS"/>
              </w:rPr>
              <w:t>о</w:t>
            </w:r>
            <w:r>
              <w:rPr>
                <w:i/>
                <w:sz w:val="22"/>
                <w:szCs w:val="22"/>
                <w:lang w:val="en-US"/>
              </w:rPr>
              <w:t>пште способности</w:t>
            </w:r>
            <w:r>
              <w:rPr>
                <w:iCs/>
                <w:sz w:val="22"/>
                <w:szCs w:val="22"/>
                <w:lang w:val="sr-Cyrl-RS"/>
              </w:rPr>
              <w:t xml:space="preserve">, између осталих: </w:t>
            </w:r>
            <w:r>
              <w:rPr>
                <w:sz w:val="22"/>
                <w:szCs w:val="22"/>
                <w:lang w:val="en-US"/>
              </w:rPr>
              <w:t xml:space="preserve">способност аналитичког и синтетичког начина мишљења и способности </w:t>
            </w:r>
            <w:r>
              <w:rPr>
                <w:sz w:val="22"/>
                <w:szCs w:val="22"/>
                <w:lang w:val="sr-Cyrl-RS"/>
              </w:rPr>
              <w:t>компарације</w:t>
            </w:r>
            <w:r>
              <w:rPr>
                <w:sz w:val="22"/>
                <w:szCs w:val="22"/>
                <w:lang w:val="en-US"/>
              </w:rPr>
              <w:t xml:space="preserve">; способност критичке процене аргумената и </w:t>
            </w:r>
            <w:r>
              <w:rPr>
                <w:sz w:val="22"/>
                <w:szCs w:val="22"/>
                <w:lang w:val="sr-Cyrl-RS"/>
              </w:rPr>
              <w:t xml:space="preserve">емпиријске </w:t>
            </w:r>
            <w:r>
              <w:rPr>
                <w:sz w:val="22"/>
                <w:szCs w:val="22"/>
                <w:lang w:val="en-US"/>
              </w:rPr>
              <w:t xml:space="preserve">евиденције, способност за примену знања у пракси, способности комуникације и тимског рада и развијену професионалну етику. </w:t>
            </w:r>
          </w:p>
          <w:p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Током основних студија студенти овладавају </w:t>
            </w:r>
            <w:r>
              <w:rPr>
                <w:sz w:val="22"/>
                <w:szCs w:val="22"/>
                <w:lang w:val="sr-Cyrl-RS"/>
              </w:rPr>
              <w:t>појмовним</w:t>
            </w:r>
            <w:r>
              <w:rPr>
                <w:sz w:val="22"/>
                <w:szCs w:val="22"/>
                <w:lang w:val="en-US"/>
              </w:rPr>
              <w:t xml:space="preserve"> апаратом социологије као научне дисциплине; упознају се са основним теоријским правцима</w:t>
            </w:r>
            <w:r>
              <w:rPr>
                <w:sz w:val="22"/>
                <w:szCs w:val="22"/>
                <w:lang w:val="sr-Cyrl-RS"/>
              </w:rPr>
              <w:t>, основним форматима научног знања као</w:t>
            </w:r>
            <w:r>
              <w:rPr>
                <w:sz w:val="22"/>
                <w:szCs w:val="22"/>
                <w:lang w:val="en-US"/>
              </w:rPr>
              <w:t xml:space="preserve"> и типовима објашњења у социологији, стичу знања о основним друштвеним</w:t>
            </w:r>
            <w:r>
              <w:rPr>
                <w:sz w:val="22"/>
                <w:szCs w:val="22"/>
                <w:lang w:val="sr-Cyrl-RS"/>
              </w:rPr>
              <w:t xml:space="preserve">структурама, </w:t>
            </w:r>
            <w:r>
              <w:rPr>
                <w:sz w:val="22"/>
                <w:szCs w:val="22"/>
                <w:lang w:val="en-US"/>
              </w:rPr>
              <w:t>институцијама и разноврсним културним системима</w:t>
            </w:r>
            <w:r>
              <w:rPr>
                <w:sz w:val="22"/>
                <w:szCs w:val="22"/>
                <w:lang w:val="sr-Cyrl-RS"/>
              </w:rPr>
              <w:t xml:space="preserve"> и праксама</w:t>
            </w:r>
            <w:r>
              <w:rPr>
                <w:sz w:val="22"/>
                <w:szCs w:val="22"/>
                <w:lang w:val="en-US"/>
              </w:rPr>
              <w:t>. Студенти такође стичу увид у механизме функционисањa</w:t>
            </w:r>
            <w:r>
              <w:rPr>
                <w:sz w:val="22"/>
                <w:szCs w:val="22"/>
                <w:lang w:val="sr-Cyrl-RS"/>
              </w:rPr>
              <w:t xml:space="preserve"> друштва али иу </w:t>
            </w:r>
            <w:r>
              <w:rPr>
                <w:sz w:val="22"/>
                <w:szCs w:val="22"/>
                <w:lang w:val="en-US"/>
              </w:rPr>
              <w:t xml:space="preserve">основне изворе друштвених нефукционалности и социјалних проблема. </w:t>
            </w:r>
            <w:r>
              <w:rPr>
                <w:sz w:val="22"/>
                <w:szCs w:val="22"/>
                <w:lang w:val="sr-Cyrl-RS"/>
              </w:rPr>
              <w:t xml:space="preserve">Компетентни су за </w:t>
            </w:r>
            <w:r>
              <w:rPr>
                <w:sz w:val="22"/>
                <w:szCs w:val="22"/>
                <w:lang w:val="en-US"/>
              </w:rPr>
              <w:t xml:space="preserve">препознавање </w:t>
            </w:r>
            <w:r>
              <w:rPr>
                <w:sz w:val="22"/>
                <w:szCs w:val="22"/>
                <w:lang w:val="sr-Cyrl-RS"/>
              </w:rPr>
              <w:t xml:space="preserve">различитих </w:t>
            </w:r>
            <w:r>
              <w:rPr>
                <w:sz w:val="22"/>
                <w:szCs w:val="22"/>
                <w:lang w:val="en-US"/>
              </w:rPr>
              <w:t xml:space="preserve">социјалних актера и разумевање структурних ограничења друштвене акције. </w:t>
            </w:r>
            <w:r>
              <w:rPr>
                <w:sz w:val="22"/>
                <w:szCs w:val="22"/>
                <w:lang w:val="sr-Cyrl-RS"/>
              </w:rPr>
              <w:t xml:space="preserve">Низ предмета из програма има за циљ да припреми студенте за </w:t>
            </w:r>
            <w:r>
              <w:rPr>
                <w:sz w:val="22"/>
                <w:szCs w:val="22"/>
                <w:lang w:val="en-US"/>
              </w:rPr>
              <w:t>истраживачк</w:t>
            </w:r>
            <w:r>
              <w:rPr>
                <w:sz w:val="22"/>
                <w:szCs w:val="22"/>
                <w:lang w:val="sr-Cyrl-RS"/>
              </w:rPr>
              <w:t>и</w:t>
            </w:r>
            <w:r>
              <w:rPr>
                <w:sz w:val="22"/>
                <w:szCs w:val="22"/>
                <w:lang w:val="en-US"/>
              </w:rPr>
              <w:t xml:space="preserve"> рад</w:t>
            </w:r>
            <w:r>
              <w:rPr>
                <w:sz w:val="22"/>
                <w:szCs w:val="22"/>
                <w:lang w:val="sr-Cyrl-RS"/>
              </w:rPr>
              <w:t>: упознати су са</w:t>
            </w:r>
            <w:r>
              <w:rPr>
                <w:sz w:val="22"/>
                <w:szCs w:val="22"/>
                <w:lang w:val="en-US"/>
              </w:rPr>
              <w:t xml:space="preserve"> неколико основних типова истраживачких нацрта и разуме</w:t>
            </w:r>
            <w:r>
              <w:rPr>
                <w:sz w:val="22"/>
                <w:szCs w:val="22"/>
                <w:lang w:val="sr-Cyrl-RS"/>
              </w:rPr>
              <w:t>ју</w:t>
            </w:r>
            <w:r>
              <w:rPr>
                <w:sz w:val="22"/>
                <w:szCs w:val="22"/>
                <w:lang w:val="en-US"/>
              </w:rPr>
              <w:t xml:space="preserve"> логик</w:t>
            </w:r>
            <w:r>
              <w:rPr>
                <w:sz w:val="22"/>
                <w:szCs w:val="22"/>
                <w:lang w:val="sr-Cyrl-RS"/>
              </w:rPr>
              <w:t>у</w:t>
            </w:r>
            <w:r>
              <w:rPr>
                <w:sz w:val="22"/>
                <w:szCs w:val="22"/>
                <w:lang w:val="en-US"/>
              </w:rPr>
              <w:t xml:space="preserve"> научног истраживања; позна</w:t>
            </w:r>
            <w:r>
              <w:rPr>
                <w:sz w:val="22"/>
                <w:szCs w:val="22"/>
                <w:lang w:val="sr-Cyrl-RS"/>
              </w:rPr>
              <w:t>ју</w:t>
            </w:r>
            <w:r>
              <w:rPr>
                <w:sz w:val="22"/>
                <w:szCs w:val="22"/>
                <w:lang w:val="en-US"/>
              </w:rPr>
              <w:t xml:space="preserve"> различит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en-US"/>
              </w:rPr>
              <w:t xml:space="preserve"> техник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en-US"/>
              </w:rPr>
              <w:t xml:space="preserve"> за прикупљање података и позна</w:t>
            </w:r>
            <w:r>
              <w:rPr>
                <w:sz w:val="22"/>
                <w:szCs w:val="22"/>
                <w:lang w:val="sr-Cyrl-RS"/>
              </w:rPr>
              <w:t>ју</w:t>
            </w:r>
            <w:r>
              <w:rPr>
                <w:sz w:val="22"/>
                <w:szCs w:val="22"/>
                <w:lang w:val="en-US"/>
              </w:rPr>
              <w:t xml:space="preserve"> основн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en-US"/>
              </w:rPr>
              <w:t xml:space="preserve"> техник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en-US"/>
              </w:rPr>
              <w:t xml:space="preserve"> обраде и анализе података</w:t>
            </w:r>
            <w:r>
              <w:rPr>
                <w:sz w:val="22"/>
                <w:szCs w:val="22"/>
                <w:lang w:val="sr-Cyrl-RS"/>
              </w:rPr>
              <w:t xml:space="preserve">, а кроз студијски истраживачки рад упућују се и у начин представљања резултата истраживања. 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  <w:p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</w:p>
          <w:p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>
              <w:rPr>
                <w:sz w:val="22"/>
                <w:szCs w:val="22"/>
                <w:lang w:val="en-US"/>
              </w:rPr>
              <w:t>сновн</w:t>
            </w:r>
            <w:r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академске </w:t>
            </w:r>
            <w:r>
              <w:rPr>
                <w:sz w:val="22"/>
                <w:szCs w:val="22"/>
                <w:lang w:val="en-US"/>
              </w:rPr>
              <w:t>студиј</w:t>
            </w:r>
            <w:r>
              <w:rPr>
                <w:sz w:val="22"/>
                <w:szCs w:val="22"/>
                <w:lang w:val="sr-Cyrl-RS"/>
              </w:rPr>
              <w:t xml:space="preserve">е </w:t>
            </w:r>
            <w:r>
              <w:rPr>
                <w:sz w:val="22"/>
                <w:szCs w:val="22"/>
                <w:lang w:val="en-US"/>
              </w:rPr>
              <w:t xml:space="preserve">оциологије </w:t>
            </w:r>
            <w:r>
              <w:rPr>
                <w:sz w:val="22"/>
                <w:szCs w:val="22"/>
                <w:lang w:val="sr-Cyrl-RS"/>
              </w:rPr>
              <w:t xml:space="preserve">креиране су са циљем да </w:t>
            </w:r>
            <w:r>
              <w:rPr>
                <w:sz w:val="22"/>
                <w:szCs w:val="22"/>
                <w:lang w:val="en-US"/>
              </w:rPr>
              <w:t>студенти ст</w:t>
            </w:r>
            <w:r>
              <w:rPr>
                <w:sz w:val="22"/>
                <w:szCs w:val="22"/>
                <w:lang w:val="sr-Cyrl-RS"/>
              </w:rPr>
              <w:t>екну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више група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  <w:lang w:val="en-US"/>
              </w:rPr>
              <w:t>предметно-специфичних компетенција</w:t>
            </w:r>
            <w:r>
              <w:rPr>
                <w:sz w:val="22"/>
                <w:szCs w:val="22"/>
                <w:lang w:val="en-US"/>
              </w:rPr>
              <w:t xml:space="preserve">: а) аналитичке компетенције (способност анализе друштвених феномена; способност коришћења резултата друштвених истраживања; способност формулације мера за остварење постављених друштвених циљева, и способност праћења и евалуације државних, локалних и пословних политика с обзиром на постављене циљеве; б) истраживачке компетенције (које се огледају у њиховој способности да прикупљају податке користећи различите инструменте и технике; да формирају базе података у барем једном статистичком програму, да самостално обаве дескриптивну анализу прикупљених података и да презентују резултате анализе); в) педагошке компетенције (које </w:t>
            </w:r>
            <w:r>
              <w:rPr>
                <w:sz w:val="22"/>
                <w:szCs w:val="22"/>
                <w:lang w:val="sr-Cyrl-RS"/>
              </w:rPr>
              <w:t>подразумевају:</w:t>
            </w:r>
            <w:r>
              <w:rPr>
                <w:sz w:val="22"/>
                <w:szCs w:val="22"/>
                <w:lang w:val="en-US"/>
              </w:rPr>
              <w:t xml:space="preserve"> преношење социолошког знања </w:t>
            </w:r>
            <w:r>
              <w:rPr>
                <w:sz w:val="22"/>
                <w:szCs w:val="22"/>
                <w:lang w:val="sr-Cyrl-RS"/>
              </w:rPr>
              <w:t xml:space="preserve">путем </w:t>
            </w:r>
            <w:r>
              <w:rPr>
                <w:sz w:val="22"/>
                <w:szCs w:val="22"/>
                <w:lang w:val="en-US"/>
              </w:rPr>
              <w:t>усвојен</w:t>
            </w:r>
            <w:r>
              <w:rPr>
                <w:sz w:val="22"/>
                <w:szCs w:val="22"/>
                <w:lang w:val="sr-Cyrl-RS"/>
              </w:rPr>
              <w:t>их</w:t>
            </w:r>
            <w:r>
              <w:rPr>
                <w:sz w:val="22"/>
                <w:szCs w:val="22"/>
                <w:lang w:val="en-US"/>
              </w:rPr>
              <w:t xml:space="preserve"> методичк</w:t>
            </w:r>
            <w:r>
              <w:rPr>
                <w:sz w:val="22"/>
                <w:szCs w:val="22"/>
                <w:lang w:val="sr-Cyrl-RS"/>
              </w:rPr>
              <w:t>их</w:t>
            </w:r>
            <w:r>
              <w:rPr>
                <w:sz w:val="22"/>
                <w:szCs w:val="22"/>
                <w:lang w:val="en-US"/>
              </w:rPr>
              <w:t xml:space="preserve"> поступ</w:t>
            </w:r>
            <w:r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en-US"/>
              </w:rPr>
              <w:t>к</w:t>
            </w:r>
            <w:r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en-US"/>
              </w:rPr>
              <w:t xml:space="preserve">, разумевање механизама </w:t>
            </w:r>
            <w:r>
              <w:rPr>
                <w:sz w:val="22"/>
                <w:szCs w:val="22"/>
                <w:lang w:val="sr-Cyrl-RS"/>
              </w:rPr>
              <w:t xml:space="preserve">интерперсоналне комуникације и </w:t>
            </w:r>
            <w:r>
              <w:rPr>
                <w:sz w:val="22"/>
                <w:szCs w:val="22"/>
                <w:lang w:val="en-US"/>
              </w:rPr>
              <w:t>социјализације; препознавање проблема неадекватне социјализације) г) компетенције администрирања и управљања људским ресурсима (које укључују способност имплементације мера државне и локалне управе и пословне политике појединих институција, способност формулисања пројеката и пројектних задатака, способност селекције и расподеле људи на радне положа и координациј</w:t>
            </w:r>
            <w:r>
              <w:rPr>
                <w:sz w:val="22"/>
                <w:szCs w:val="22"/>
                <w:lang w:val="sr-Cyrl-RS"/>
              </w:rPr>
              <w:t>у</w:t>
            </w:r>
            <w:r>
              <w:rPr>
                <w:sz w:val="22"/>
                <w:szCs w:val="22"/>
                <w:lang w:val="en-US"/>
              </w:rPr>
              <w:t xml:space="preserve"> рада мањег броја сарадника). На овом нивоу оспособљености</w:t>
            </w:r>
            <w:r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циљ је да свршени </w:t>
            </w:r>
            <w:r>
              <w:rPr>
                <w:sz w:val="22"/>
                <w:szCs w:val="22"/>
                <w:lang w:val="en-US"/>
              </w:rPr>
              <w:t>студенти владају професијом социолога</w:t>
            </w:r>
            <w:r>
              <w:rPr>
                <w:sz w:val="22"/>
                <w:szCs w:val="22"/>
                <w:lang w:val="sr-Cyrl-RS"/>
              </w:rPr>
              <w:t xml:space="preserve">, те да </w:t>
            </w:r>
            <w:r>
              <w:rPr>
                <w:sz w:val="22"/>
                <w:szCs w:val="22"/>
                <w:lang w:val="en-US"/>
              </w:rPr>
              <w:t>могу решавати практичне проблеме са којима ће се на својим радним местима сретати као и</w:t>
            </w:r>
            <w:r>
              <w:rPr>
                <w:sz w:val="22"/>
                <w:szCs w:val="22"/>
                <w:lang w:val="sr-Cyrl-RS"/>
              </w:rPr>
              <w:t xml:space="preserve"> да могу</w:t>
            </w:r>
            <w:r>
              <w:rPr>
                <w:sz w:val="22"/>
                <w:szCs w:val="22"/>
                <w:lang w:val="en-US"/>
              </w:rPr>
              <w:t xml:space="preserve"> креирати и управљати пројектима (у државној управи, у приведним организацијама, у медијима, културним и образовним установама</w:t>
            </w:r>
            <w:r>
              <w:rPr>
                <w:sz w:val="22"/>
                <w:szCs w:val="22"/>
                <w:lang w:val="sr-Cyrl-RS"/>
              </w:rPr>
              <w:t>, организацијама цивилног друштва итд</w:t>
            </w:r>
            <w:r>
              <w:rPr>
                <w:sz w:val="22"/>
                <w:szCs w:val="22"/>
                <w:lang w:val="en-US"/>
              </w:rPr>
              <w:t>).</w:t>
            </w:r>
          </w:p>
        </w:tc>
      </w:tr>
      <w:tr>
        <w:tc>
          <w:tcPr>
            <w:tcW w:w="9849" w:type="dxa"/>
            <w:shd w:val="clear" w:color="auto" w:fill="F2F2F2"/>
          </w:tcPr>
          <w:p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Прилози за стандард 3: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Прилог 1.1. </w:t>
            </w:r>
            <w:r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институције).</w:t>
            </w:r>
          </w:p>
          <w:p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lastRenderedPageBreak/>
              <w:t xml:space="preserve">Веб-сајт: </w:t>
            </w:r>
            <w:hyperlink r:id="rId8" w:history="1">
              <w:r>
                <w:rPr>
                  <w:rStyle w:val="Hyperlink"/>
                  <w:sz w:val="24"/>
                  <w:szCs w:val="24"/>
                  <w:lang w:val="sr-Cyrl-RS"/>
                </w:rPr>
                <w:t>www.filfak.ni.ac.rs</w:t>
              </w:r>
            </w:hyperlink>
          </w:p>
          <w:p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Веб-сајт на енглеском језику: </w:t>
            </w:r>
            <w:hyperlink r:id="rId9" w:history="1">
              <w:r>
                <w:rPr>
                  <w:rStyle w:val="Hyperlink"/>
                  <w:sz w:val="24"/>
                  <w:szCs w:val="24"/>
                  <w:lang w:val="sr-Cyrl-RS"/>
                </w:rPr>
                <w:t>https://intl.filfak.ni.ac.rs/en</w:t>
              </w:r>
            </w:hyperlink>
          </w:p>
          <w:p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Блог: </w:t>
            </w:r>
            <w:hyperlink r:id="rId10" w:history="1">
              <w:r>
                <w:rPr>
                  <w:rStyle w:val="Hyperlink"/>
                  <w:sz w:val="24"/>
                  <w:szCs w:val="24"/>
                  <w:lang w:val="sr-Cyrl-RS"/>
                </w:rPr>
                <w:t>https://blog.filfak.ni.ac.rs/</w:t>
              </w:r>
            </w:hyperlink>
          </w:p>
          <w:p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Портал за упис: </w:t>
            </w:r>
            <w:hyperlink r:id="rId11" w:history="1">
              <w:r>
                <w:rPr>
                  <w:rStyle w:val="Hyperlink"/>
                  <w:sz w:val="24"/>
                  <w:szCs w:val="24"/>
                  <w:lang w:val="sr-Cyrl-RS"/>
                </w:rPr>
                <w:t>https://upis.filfak.ni.ac.rs/</w:t>
              </w:r>
            </w:hyperlink>
          </w:p>
          <w:p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Портал за студенте: </w:t>
            </w:r>
            <w:hyperlink r:id="rId12" w:history="1">
              <w:r>
                <w:rPr>
                  <w:rStyle w:val="Hyperlink"/>
                  <w:sz w:val="24"/>
                  <w:szCs w:val="24"/>
                  <w:lang w:val="sr-Cyrl-RS"/>
                </w:rPr>
                <w:t>http://studenti.filfak.ni.ac.rs/</w:t>
              </w:r>
            </w:hyperlink>
          </w:p>
          <w:p>
            <w:pPr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  <w:lang w:val="sr-Cyrl-RS"/>
              </w:rPr>
              <w:t xml:space="preserve">Издања Факултета: </w:t>
            </w:r>
            <w:hyperlink r:id="rId13" w:history="1">
              <w:r>
                <w:rPr>
                  <w:rStyle w:val="Hyperlink"/>
                  <w:sz w:val="24"/>
                  <w:szCs w:val="24"/>
                  <w:lang w:val="sr-Cyrl-RS"/>
                </w:rPr>
                <w:t>https://izdanja.filfak.ni.ac.rs/</w:t>
              </w:r>
            </w:hyperlink>
          </w:p>
        </w:tc>
      </w:tr>
    </w:tbl>
    <w:p/>
    <w:sectPr>
      <w:headerReference w:type="default" r:id="rId14"/>
      <w:footerReference w:type="default" r:id="rId15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lang w:val="sr-Cyrl-RS"/>
      </w:rPr>
    </w:pPr>
    <w:r>
      <w:t>www.filfak.ni.ac.rs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>
      <w:trPr>
        <w:trHeight w:val="367"/>
        <w:jc w:val="center"/>
      </w:trPr>
      <w:tc>
        <w:tcPr>
          <w:tcW w:w="1515" w:type="dxa"/>
          <w:vMerge w:val="restart"/>
          <w:vAlign w:val="center"/>
        </w:tcPr>
        <w:p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>
      <w:trPr>
        <w:trHeight w:val="467"/>
        <w:jc w:val="center"/>
      </w:trPr>
      <w:tc>
        <w:tcPr>
          <w:tcW w:w="1515" w:type="dxa"/>
          <w:vMerge/>
        </w:tcPr>
        <w:p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>
          <w:pPr>
            <w:pStyle w:val="Header"/>
            <w:jc w:val="right"/>
            <w:rPr>
              <w:lang w:val="sr-Cyrl-CS"/>
            </w:rPr>
          </w:pPr>
        </w:p>
      </w:tc>
    </w:tr>
    <w:tr>
      <w:trPr>
        <w:trHeight w:val="449"/>
        <w:jc w:val="center"/>
      </w:trPr>
      <w:tc>
        <w:tcPr>
          <w:tcW w:w="1515" w:type="dxa"/>
          <w:vMerge/>
        </w:tcPr>
        <w:p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>
          <w:pPr>
            <w:pStyle w:val="Header"/>
            <w:jc w:val="right"/>
            <w:rPr>
              <w:lang w:val="sr-Cyrl-CS"/>
            </w:rPr>
          </w:pPr>
        </w:p>
      </w:tc>
    </w:tr>
  </w:tbl>
  <w:p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A3C17"/>
    <w:multiLevelType w:val="hybridMultilevel"/>
    <w:tmpl w:val="F8F0C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fak.ni.ac.rs" TargetMode="External"/><Relationship Id="rId13" Type="http://schemas.openxmlformats.org/officeDocument/2006/relationships/hyperlink" Target="https://izdanja.filfak.ni.ac.r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tudenti.filfak.ni.ac.rs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pis.filfak.ni.ac.rs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log.filfak.ni.ac.r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l.filfak.ni.ac.rs/en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Links>
    <vt:vector size="36" baseType="variant">
      <vt:variant>
        <vt:i4>5505106</vt:i4>
      </vt:variant>
      <vt:variant>
        <vt:i4>15</vt:i4>
      </vt:variant>
      <vt:variant>
        <vt:i4>0</vt:i4>
      </vt:variant>
      <vt:variant>
        <vt:i4>5</vt:i4>
      </vt:variant>
      <vt:variant>
        <vt:lpwstr>https://izdanja.filfak.ni.ac.rs/</vt:lpwstr>
      </vt:variant>
      <vt:variant>
        <vt:lpwstr/>
      </vt:variant>
      <vt:variant>
        <vt:i4>524302</vt:i4>
      </vt:variant>
      <vt:variant>
        <vt:i4>12</vt:i4>
      </vt:variant>
      <vt:variant>
        <vt:i4>0</vt:i4>
      </vt:variant>
      <vt:variant>
        <vt:i4>5</vt:i4>
      </vt:variant>
      <vt:variant>
        <vt:lpwstr>http://studenti.filfak.ni.ac.rs/</vt:lpwstr>
      </vt:variant>
      <vt:variant>
        <vt:lpwstr/>
      </vt:variant>
      <vt:variant>
        <vt:i4>131143</vt:i4>
      </vt:variant>
      <vt:variant>
        <vt:i4>9</vt:i4>
      </vt:variant>
      <vt:variant>
        <vt:i4>0</vt:i4>
      </vt:variant>
      <vt:variant>
        <vt:i4>5</vt:i4>
      </vt:variant>
      <vt:variant>
        <vt:lpwstr>https://upis.filfak.ni.ac.rs/</vt:lpwstr>
      </vt:variant>
      <vt:variant>
        <vt:lpwstr/>
      </vt:variant>
      <vt:variant>
        <vt:i4>655446</vt:i4>
      </vt:variant>
      <vt:variant>
        <vt:i4>6</vt:i4>
      </vt:variant>
      <vt:variant>
        <vt:i4>0</vt:i4>
      </vt:variant>
      <vt:variant>
        <vt:i4>5</vt:i4>
      </vt:variant>
      <vt:variant>
        <vt:lpwstr>https://blog.filfak.ni.ac.rs/</vt:lpwstr>
      </vt:variant>
      <vt:variant>
        <vt:lpwstr/>
      </vt:variant>
      <vt:variant>
        <vt:i4>6684777</vt:i4>
      </vt:variant>
      <vt:variant>
        <vt:i4>3</vt:i4>
      </vt:variant>
      <vt:variant>
        <vt:i4>0</vt:i4>
      </vt:variant>
      <vt:variant>
        <vt:i4>5</vt:i4>
      </vt:variant>
      <vt:variant>
        <vt:lpwstr>https://intl.filfak.ni.ac.rs/en</vt:lpwstr>
      </vt:variant>
      <vt:variant>
        <vt:lpwstr/>
      </vt:variant>
      <vt:variant>
        <vt:i4>3866725</vt:i4>
      </vt:variant>
      <vt:variant>
        <vt:i4>0</vt:i4>
      </vt:variant>
      <vt:variant>
        <vt:i4>0</vt:i4>
      </vt:variant>
      <vt:variant>
        <vt:i4>5</vt:i4>
      </vt:variant>
      <vt:variant>
        <vt:lpwstr>http://www.filfak.ni.ac.rs/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Miloš Jovanović</cp:lastModifiedBy>
  <cp:revision>3</cp:revision>
  <cp:lastPrinted>2008-06-10T11:57:00Z</cp:lastPrinted>
  <dcterms:created xsi:type="dcterms:W3CDTF">2026-06-08T17:20:00Z</dcterms:created>
  <dcterms:modified xsi:type="dcterms:W3CDTF">2026-06-26T11:32:00Z</dcterms:modified>
</cp:coreProperties>
</file>